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E34" w:rsidRPr="000D2C7E" w:rsidRDefault="000D2C7E" w:rsidP="000D2C7E">
      <w:pPr>
        <w:rPr>
          <w:b/>
        </w:rPr>
      </w:pPr>
      <w:r w:rsidRPr="000D2C7E">
        <w:rPr>
          <w:b/>
        </w:rPr>
        <w:t>GCE Statistics AO3 practice questions</w:t>
      </w:r>
    </w:p>
    <w:p w:rsidR="000D2C7E" w:rsidRDefault="000D2C7E" w:rsidP="000D2C7E"/>
    <w:p w:rsidR="000D2C7E" w:rsidRPr="000D2C7E" w:rsidRDefault="000D2C7E" w:rsidP="000D2C7E">
      <w:pPr>
        <w:pStyle w:val="Text"/>
        <w:spacing w:before="0" w:after="0" w:line="240" w:lineRule="auto"/>
        <w:rPr>
          <w:rFonts w:ascii="Times New Roman" w:hAnsi="Times New Roman"/>
          <w:sz w:val="24"/>
        </w:rPr>
      </w:pPr>
      <w:r w:rsidRPr="000D2C7E">
        <w:rPr>
          <w:rFonts w:ascii="Times New Roman" w:hAnsi="Times New Roman"/>
          <w:sz w:val="24"/>
        </w:rPr>
        <w:t>AO3 is new to GCE Statistics, and its</w:t>
      </w:r>
      <w:r w:rsidRPr="000D2C7E">
        <w:rPr>
          <w:rFonts w:ascii="Times New Roman" w:hAnsi="Times New Roman"/>
          <w:sz w:val="24"/>
          <w:lang w:val="en-US"/>
        </w:rPr>
        <w:t xml:space="preserve"> focus is on </w:t>
      </w:r>
      <w:r w:rsidRPr="000D2C7E">
        <w:rPr>
          <w:rFonts w:ascii="Times New Roman" w:hAnsi="Times New Roman"/>
          <w:bCs/>
          <w:sz w:val="24"/>
          <w:lang w:val="en-US"/>
        </w:rPr>
        <w:t xml:space="preserve">reliability and validity. 20% of marks </w:t>
      </w:r>
      <w:r w:rsidRPr="000D2C7E">
        <w:rPr>
          <w:rFonts w:ascii="Times New Roman" w:hAnsi="Times New Roman"/>
          <w:sz w:val="24"/>
        </w:rPr>
        <w:t>are</w:t>
      </w:r>
      <w:r w:rsidRPr="000D2C7E">
        <w:rPr>
          <w:rFonts w:ascii="Times New Roman" w:hAnsi="Times New Roman"/>
          <w:bCs/>
          <w:sz w:val="24"/>
          <w:lang w:val="en-US"/>
        </w:rPr>
        <w:t xml:space="preserve"> allocated to this requirement for critical assessment. This is a significant change from the </w:t>
      </w:r>
      <w:r>
        <w:rPr>
          <w:rFonts w:ascii="Times New Roman" w:hAnsi="Times New Roman"/>
          <w:bCs/>
          <w:sz w:val="24"/>
          <w:lang w:val="en-US"/>
        </w:rPr>
        <w:t>legacy AQA</w:t>
      </w:r>
      <w:r w:rsidRPr="000D2C7E">
        <w:rPr>
          <w:rFonts w:ascii="Times New Roman" w:hAnsi="Times New Roman"/>
          <w:bCs/>
          <w:sz w:val="24"/>
          <w:lang w:val="en-US"/>
        </w:rPr>
        <w:t xml:space="preserve"> specification, but a welcome and important one, as students must be aware of the limitations of methodologies, not just how to carry them out.</w:t>
      </w:r>
    </w:p>
    <w:p w:rsidR="000D2C7E" w:rsidRPr="000D2C7E" w:rsidRDefault="000D2C7E" w:rsidP="000D2C7E">
      <w:pPr>
        <w:rPr>
          <w:rFonts w:cs="Times New Roman"/>
          <w:szCs w:val="24"/>
        </w:rPr>
      </w:pPr>
    </w:p>
    <w:p w:rsidR="000D2C7E" w:rsidRDefault="000D2C7E" w:rsidP="000D2C7E">
      <w:pPr>
        <w:rPr>
          <w:rFonts w:cs="Times New Roman"/>
          <w:szCs w:val="24"/>
        </w:rPr>
      </w:pPr>
      <w:r w:rsidRPr="000D2C7E">
        <w:rPr>
          <w:rFonts w:cs="Times New Roman"/>
          <w:szCs w:val="24"/>
        </w:rPr>
        <w:t>These practice questions have been taken from Edexcel GCE Maths past papers, and are intended to provide examples of the AO3 assessment objective in the new GCE Statistics specification.</w:t>
      </w:r>
      <w:r>
        <w:rPr>
          <w:rFonts w:cs="Times New Roman"/>
          <w:szCs w:val="24"/>
        </w:rPr>
        <w:t xml:space="preserve"> The questions are relevant to content in the new specification under sections </w:t>
      </w:r>
      <w:r>
        <w:rPr>
          <w:rFonts w:cs="Times New Roman"/>
          <w:szCs w:val="24"/>
        </w:rPr>
        <w:br/>
        <w:t>1, 6, 7, 8 and 15.</w:t>
      </w:r>
    </w:p>
    <w:p w:rsidR="00AA7AAF" w:rsidRDefault="00AA7AAF" w:rsidP="000D2C7E">
      <w:pPr>
        <w:rPr>
          <w:rFonts w:cs="Times New Roman"/>
          <w:szCs w:val="24"/>
        </w:rPr>
      </w:pPr>
    </w:p>
    <w:tbl>
      <w:tblPr>
        <w:tblW w:w="5140" w:type="dxa"/>
        <w:tblInd w:w="93" w:type="dxa"/>
        <w:tblLook w:val="04A0"/>
      </w:tblPr>
      <w:tblGrid>
        <w:gridCol w:w="5140"/>
      </w:tblGrid>
      <w:tr w:rsidR="00AA7AAF" w:rsidRPr="00AA7AAF" w:rsidTr="00AA7AAF">
        <w:trPr>
          <w:trHeight w:val="60"/>
        </w:trPr>
        <w:tc>
          <w:tcPr>
            <w:tcW w:w="51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7E4BC"/>
            <w:noWrap/>
            <w:hideMark/>
          </w:tcPr>
          <w:p w:rsidR="00AA7AAF" w:rsidRPr="00AA7AAF" w:rsidRDefault="00AA7AAF" w:rsidP="00AA7AAF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val="en-US"/>
              </w:rPr>
            </w:pPr>
            <w:r w:rsidRPr="00AA7AAF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val="en-US"/>
              </w:rPr>
              <w:t>AS level</w:t>
            </w:r>
          </w:p>
        </w:tc>
      </w:tr>
      <w:tr w:rsidR="00AA7AAF" w:rsidRPr="00AA7AAF" w:rsidTr="00AA7AAF">
        <w:trPr>
          <w:trHeight w:val="70"/>
        </w:trPr>
        <w:tc>
          <w:tcPr>
            <w:tcW w:w="51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7E4BC"/>
            <w:noWrap/>
            <w:hideMark/>
          </w:tcPr>
          <w:p w:rsidR="00AA7AAF" w:rsidRPr="00AA7AAF" w:rsidRDefault="00AA7AAF" w:rsidP="00AA7AAF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val="en-US"/>
              </w:rPr>
            </w:pPr>
            <w:r w:rsidRPr="00AA7AAF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val="en-US"/>
              </w:rPr>
              <w:t>Section 1 - Numerical measures, graphs and diagrams</w:t>
            </w:r>
          </w:p>
        </w:tc>
      </w:tr>
      <w:tr w:rsidR="00AA7AAF" w:rsidRPr="00AA7AAF" w:rsidTr="00AA7AAF">
        <w:trPr>
          <w:trHeight w:val="311"/>
        </w:trPr>
        <w:tc>
          <w:tcPr>
            <w:tcW w:w="5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A7AAF" w:rsidRPr="00AA7AAF" w:rsidRDefault="00AA7AAF" w:rsidP="00AA7AAF">
            <w:pPr>
              <w:rPr>
                <w:rFonts w:ascii="Calibri" w:eastAsia="Times New Roman" w:hAnsi="Calibri" w:cs="Times New Roman"/>
                <w:sz w:val="22"/>
                <w:lang w:val="en-US"/>
              </w:rPr>
            </w:pPr>
            <w:r w:rsidRPr="00AA7AAF">
              <w:rPr>
                <w:rFonts w:ascii="Calibri" w:eastAsia="Times New Roman" w:hAnsi="Calibri" w:cs="Times New Roman"/>
                <w:sz w:val="22"/>
                <w:lang w:val="en-US"/>
              </w:rPr>
              <w:t>June 2016 S1 - Q5abcf*</w:t>
            </w:r>
            <w:r w:rsidRPr="00AA7AAF">
              <w:rPr>
                <w:rFonts w:ascii="Calibri" w:eastAsia="Times New Roman" w:hAnsi="Calibri" w:cs="Times New Roman"/>
                <w:sz w:val="22"/>
                <w:lang w:val="en-US"/>
              </w:rPr>
              <w:br/>
              <w:t>May 2013 S1 - Q4 all (f*)</w:t>
            </w:r>
            <w:r w:rsidRPr="00AA7AAF">
              <w:rPr>
                <w:rFonts w:ascii="Calibri" w:eastAsia="Times New Roman" w:hAnsi="Calibri" w:cs="Times New Roman"/>
                <w:sz w:val="22"/>
                <w:lang w:val="en-US"/>
              </w:rPr>
              <w:br/>
              <w:t>May 2012 S1 - Q5 all (e*)</w:t>
            </w:r>
          </w:p>
        </w:tc>
      </w:tr>
      <w:tr w:rsidR="00AA7AAF" w:rsidRPr="00AA7AAF" w:rsidTr="00AA7AAF">
        <w:trPr>
          <w:trHeight w:val="70"/>
        </w:trPr>
        <w:tc>
          <w:tcPr>
            <w:tcW w:w="51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7E4BC"/>
            <w:noWrap/>
            <w:hideMark/>
          </w:tcPr>
          <w:p w:rsidR="00AA7AAF" w:rsidRPr="00AA7AAF" w:rsidRDefault="00AA7AAF" w:rsidP="00AA7AAF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val="en-US"/>
              </w:rPr>
            </w:pPr>
            <w:r w:rsidRPr="00AA7AAF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val="en-US"/>
              </w:rPr>
              <w:t>Section 6 - Normal distribution</w:t>
            </w:r>
          </w:p>
        </w:tc>
      </w:tr>
      <w:tr w:rsidR="00AA7AAF" w:rsidRPr="00AA7AAF" w:rsidTr="00AA7AAF">
        <w:trPr>
          <w:trHeight w:val="80"/>
        </w:trPr>
        <w:tc>
          <w:tcPr>
            <w:tcW w:w="51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A7AAF" w:rsidRPr="00AA7AAF" w:rsidRDefault="00AA7AAF" w:rsidP="00AA7AAF">
            <w:pPr>
              <w:rPr>
                <w:rFonts w:ascii="Calibri" w:eastAsia="Times New Roman" w:hAnsi="Calibri" w:cs="Times New Roman"/>
                <w:sz w:val="22"/>
                <w:lang w:val="en-US"/>
              </w:rPr>
            </w:pPr>
            <w:r w:rsidRPr="00AA7AAF">
              <w:rPr>
                <w:rFonts w:ascii="Calibri" w:eastAsia="Times New Roman" w:hAnsi="Calibri" w:cs="Times New Roman"/>
                <w:sz w:val="22"/>
                <w:lang w:val="en-US"/>
              </w:rPr>
              <w:t>June 2016 S1 - Q5de*</w:t>
            </w:r>
            <w:r w:rsidRPr="00AA7AAF">
              <w:rPr>
                <w:rFonts w:ascii="Calibri" w:eastAsia="Times New Roman" w:hAnsi="Calibri" w:cs="Times New Roman"/>
                <w:sz w:val="22"/>
                <w:lang w:val="en-US"/>
              </w:rPr>
              <w:br/>
              <w:t>January 2013 S1 - Q5ef*</w:t>
            </w:r>
            <w:r w:rsidRPr="00AA7AAF">
              <w:rPr>
                <w:rFonts w:ascii="Calibri" w:eastAsia="Times New Roman" w:hAnsi="Calibri" w:cs="Times New Roman"/>
                <w:sz w:val="22"/>
                <w:lang w:val="en-US"/>
              </w:rPr>
              <w:br/>
              <w:t>May 2011 S1 - Q4, Q5de*</w:t>
            </w:r>
          </w:p>
        </w:tc>
      </w:tr>
      <w:tr w:rsidR="00AA7AAF" w:rsidRPr="00AA7AAF" w:rsidTr="00AA7AAF">
        <w:trPr>
          <w:trHeight w:val="70"/>
        </w:trPr>
        <w:tc>
          <w:tcPr>
            <w:tcW w:w="514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7E4BC"/>
            <w:noWrap/>
            <w:hideMark/>
          </w:tcPr>
          <w:p w:rsidR="00AA7AAF" w:rsidRPr="00AA7AAF" w:rsidRDefault="00AA7AAF" w:rsidP="00AA7AAF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val="en-US"/>
              </w:rPr>
            </w:pPr>
            <w:r w:rsidRPr="00AA7AAF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val="en-US"/>
              </w:rPr>
              <w:t>Section 7 - Correlation and linear regression</w:t>
            </w:r>
          </w:p>
        </w:tc>
      </w:tr>
      <w:tr w:rsidR="00AA7AAF" w:rsidRPr="00AA7AAF" w:rsidTr="00AA7AAF">
        <w:trPr>
          <w:trHeight w:val="627"/>
        </w:trPr>
        <w:tc>
          <w:tcPr>
            <w:tcW w:w="51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A7AAF" w:rsidRPr="00AA7AAF" w:rsidRDefault="00AA7AAF" w:rsidP="00AA7AAF">
            <w:pPr>
              <w:rPr>
                <w:rFonts w:ascii="Calibri" w:eastAsia="Times New Roman" w:hAnsi="Calibri" w:cs="Times New Roman"/>
                <w:sz w:val="22"/>
                <w:lang w:val="en-US"/>
              </w:rPr>
            </w:pPr>
            <w:r w:rsidRPr="00AA7AAF">
              <w:rPr>
                <w:rFonts w:ascii="Calibri" w:eastAsia="Times New Roman" w:hAnsi="Calibri" w:cs="Times New Roman"/>
                <w:sz w:val="22"/>
                <w:lang w:val="en-US"/>
              </w:rPr>
              <w:t>June 2017 S1 - Q1 all (d*)</w:t>
            </w:r>
            <w:r w:rsidRPr="00AA7AAF">
              <w:rPr>
                <w:rFonts w:ascii="Calibri" w:eastAsia="Times New Roman" w:hAnsi="Calibri" w:cs="Times New Roman"/>
                <w:sz w:val="22"/>
                <w:lang w:val="en-US"/>
              </w:rPr>
              <w:br/>
              <w:t>June 2016 S1 - Q1 all (e*), Q3bcde*</w:t>
            </w:r>
            <w:r w:rsidRPr="00AA7AAF">
              <w:rPr>
                <w:rFonts w:ascii="Calibri" w:eastAsia="Times New Roman" w:hAnsi="Calibri" w:cs="Times New Roman"/>
                <w:sz w:val="22"/>
                <w:lang w:val="en-US"/>
              </w:rPr>
              <w:br/>
              <w:t>June 2015 S1 - Q4 all (f*)</w:t>
            </w:r>
            <w:r w:rsidRPr="00AA7AAF">
              <w:rPr>
                <w:rFonts w:ascii="Calibri" w:eastAsia="Times New Roman" w:hAnsi="Calibri" w:cs="Times New Roman"/>
                <w:sz w:val="22"/>
                <w:lang w:val="en-US"/>
              </w:rPr>
              <w:br/>
              <w:t>June 2014 S1 - Q3 all (g*)</w:t>
            </w:r>
            <w:r w:rsidRPr="00AA7AAF">
              <w:rPr>
                <w:rFonts w:ascii="Calibri" w:eastAsia="Times New Roman" w:hAnsi="Calibri" w:cs="Times New Roman"/>
                <w:sz w:val="22"/>
                <w:lang w:val="en-US"/>
              </w:rPr>
              <w:br/>
              <w:t>June 2014 S1R - Q3 all (f*)</w:t>
            </w:r>
            <w:r w:rsidRPr="00AA7AAF">
              <w:rPr>
                <w:rFonts w:ascii="Calibri" w:eastAsia="Times New Roman" w:hAnsi="Calibri" w:cs="Times New Roman"/>
                <w:sz w:val="22"/>
                <w:lang w:val="en-US"/>
              </w:rPr>
              <w:br/>
              <w:t>January 2012 S1 - Q5 all (f*)</w:t>
            </w:r>
            <w:r w:rsidRPr="00AA7AAF">
              <w:rPr>
                <w:rFonts w:ascii="Calibri" w:eastAsia="Times New Roman" w:hAnsi="Calibri" w:cs="Times New Roman"/>
                <w:sz w:val="22"/>
                <w:lang w:val="en-US"/>
              </w:rPr>
              <w:br/>
              <w:t>May 2011 S1 - Q7 all (d*)</w:t>
            </w:r>
          </w:p>
        </w:tc>
      </w:tr>
      <w:tr w:rsidR="00AA7AAF" w:rsidRPr="00AA7AAF" w:rsidTr="00AA7AAF">
        <w:trPr>
          <w:trHeight w:val="80"/>
        </w:trPr>
        <w:tc>
          <w:tcPr>
            <w:tcW w:w="5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A7AAF" w:rsidRPr="00AA7AAF" w:rsidRDefault="00AA7AAF" w:rsidP="00AA7AAF">
            <w:pPr>
              <w:rPr>
                <w:rFonts w:ascii="Calibri" w:eastAsia="Times New Roman" w:hAnsi="Calibri" w:cs="Times New Roman"/>
                <w:sz w:val="22"/>
                <w:lang w:val="en-US"/>
              </w:rPr>
            </w:pPr>
            <w:r w:rsidRPr="00AA7AAF">
              <w:rPr>
                <w:rFonts w:ascii="Calibri" w:eastAsia="Times New Roman" w:hAnsi="Calibri" w:cs="Times New Roman"/>
                <w:sz w:val="22"/>
                <w:lang w:val="en-US"/>
              </w:rPr>
              <w:t>May 2017 S3 - Q3 all (c*)</w:t>
            </w:r>
          </w:p>
        </w:tc>
      </w:tr>
      <w:tr w:rsidR="00AA7AAF" w:rsidRPr="00AA7AAF" w:rsidTr="00AA7AAF">
        <w:trPr>
          <w:trHeight w:val="70"/>
        </w:trPr>
        <w:tc>
          <w:tcPr>
            <w:tcW w:w="51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7E4BC"/>
            <w:noWrap/>
            <w:hideMark/>
          </w:tcPr>
          <w:p w:rsidR="00AA7AAF" w:rsidRPr="00AA7AAF" w:rsidRDefault="00AA7AAF" w:rsidP="00AA7AAF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val="en-US"/>
              </w:rPr>
            </w:pPr>
            <w:r w:rsidRPr="00AA7AAF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val="en-US"/>
              </w:rPr>
              <w:t>Section 8 - Introduction to hypothesis testing</w:t>
            </w:r>
          </w:p>
        </w:tc>
      </w:tr>
      <w:tr w:rsidR="00AA7AAF" w:rsidRPr="00AA7AAF" w:rsidTr="00AA7AAF">
        <w:trPr>
          <w:trHeight w:val="80"/>
        </w:trPr>
        <w:tc>
          <w:tcPr>
            <w:tcW w:w="51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A7AAF" w:rsidRPr="00AA7AAF" w:rsidRDefault="00AA7AAF" w:rsidP="00AA7AAF">
            <w:pPr>
              <w:rPr>
                <w:rFonts w:ascii="Calibri" w:eastAsia="Times New Roman" w:hAnsi="Calibri" w:cs="Times New Roman"/>
                <w:sz w:val="22"/>
                <w:lang w:val="en-US"/>
              </w:rPr>
            </w:pPr>
            <w:r w:rsidRPr="00AA7AAF">
              <w:rPr>
                <w:rFonts w:ascii="Calibri" w:eastAsia="Times New Roman" w:hAnsi="Calibri" w:cs="Times New Roman"/>
                <w:sz w:val="22"/>
                <w:lang w:val="en-US"/>
              </w:rPr>
              <w:t>June 2014 S2 - Q5b*</w:t>
            </w:r>
            <w:proofErr w:type="spellStart"/>
            <w:r w:rsidRPr="00AA7AAF">
              <w:rPr>
                <w:rFonts w:ascii="Calibri" w:eastAsia="Times New Roman" w:hAnsi="Calibri" w:cs="Times New Roman"/>
                <w:sz w:val="22"/>
                <w:lang w:val="en-US"/>
              </w:rPr>
              <w:t>cd</w:t>
            </w:r>
            <w:proofErr w:type="spellEnd"/>
          </w:p>
        </w:tc>
      </w:tr>
      <w:tr w:rsidR="00AA7AAF" w:rsidRPr="00AA7AAF" w:rsidTr="00AA7AAF">
        <w:trPr>
          <w:trHeight w:val="60"/>
        </w:trPr>
        <w:tc>
          <w:tcPr>
            <w:tcW w:w="51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7E4BC"/>
            <w:noWrap/>
            <w:hideMark/>
          </w:tcPr>
          <w:p w:rsidR="00AA7AAF" w:rsidRPr="00AA7AAF" w:rsidRDefault="00AA7AAF" w:rsidP="00AA7AAF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val="en-US"/>
              </w:rPr>
            </w:pPr>
            <w:r w:rsidRPr="00AA7AAF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val="en-US"/>
              </w:rPr>
              <w:t>A level</w:t>
            </w:r>
          </w:p>
        </w:tc>
      </w:tr>
      <w:tr w:rsidR="00AA7AAF" w:rsidRPr="00AA7AAF" w:rsidTr="00AA7AAF">
        <w:trPr>
          <w:trHeight w:val="70"/>
        </w:trPr>
        <w:tc>
          <w:tcPr>
            <w:tcW w:w="51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7E4BC"/>
            <w:hideMark/>
          </w:tcPr>
          <w:p w:rsidR="00AA7AAF" w:rsidRPr="00AA7AAF" w:rsidRDefault="00AA7AAF" w:rsidP="00AA7AAF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val="en-US"/>
              </w:rPr>
            </w:pPr>
            <w:r w:rsidRPr="00AA7AAF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val="en-US"/>
              </w:rPr>
              <w:t>Section 15 - Hypothesis testing, significance testing, confidence intervals and power</w:t>
            </w:r>
          </w:p>
        </w:tc>
      </w:tr>
      <w:tr w:rsidR="00AA7AAF" w:rsidRPr="00AA7AAF" w:rsidTr="00AA7AAF">
        <w:trPr>
          <w:trHeight w:val="80"/>
        </w:trPr>
        <w:tc>
          <w:tcPr>
            <w:tcW w:w="5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A7AAF" w:rsidRPr="00AA7AAF" w:rsidRDefault="00AA7AAF" w:rsidP="00AA7AAF">
            <w:pPr>
              <w:rPr>
                <w:rFonts w:ascii="Calibri" w:eastAsia="Times New Roman" w:hAnsi="Calibri" w:cs="Times New Roman"/>
                <w:sz w:val="22"/>
                <w:lang w:val="en-US"/>
              </w:rPr>
            </w:pPr>
            <w:r w:rsidRPr="00AA7AAF">
              <w:rPr>
                <w:rFonts w:ascii="Calibri" w:eastAsia="Times New Roman" w:hAnsi="Calibri" w:cs="Times New Roman"/>
                <w:sz w:val="22"/>
                <w:lang w:val="en-US"/>
              </w:rPr>
              <w:t>May 2017 S3 - Q5 all (c*)</w:t>
            </w:r>
          </w:p>
        </w:tc>
      </w:tr>
    </w:tbl>
    <w:p w:rsidR="000D2C7E" w:rsidRDefault="000D2C7E" w:rsidP="000D2C7E">
      <w:pPr>
        <w:rPr>
          <w:rFonts w:cs="Times New Roman"/>
          <w:szCs w:val="24"/>
        </w:rPr>
      </w:pPr>
    </w:p>
    <w:p w:rsidR="00AA7AAF" w:rsidRDefault="00AA7AAF" w:rsidP="000D2C7E">
      <w:pPr>
        <w:rPr>
          <w:rFonts w:cs="Times New Roman"/>
          <w:szCs w:val="24"/>
        </w:rPr>
      </w:pPr>
    </w:p>
    <w:p w:rsidR="000D2C7E" w:rsidRDefault="000D2C7E" w:rsidP="000D2C7E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Further examples of the new AO3 can be found in the </w:t>
      </w:r>
      <w:r w:rsidR="00AA7AAF">
        <w:rPr>
          <w:rFonts w:cs="Times New Roman"/>
          <w:szCs w:val="24"/>
        </w:rPr>
        <w:t>GCE Statistics Sample Assessment Materials</w:t>
      </w:r>
      <w:r>
        <w:rPr>
          <w:rFonts w:cs="Times New Roman"/>
          <w:szCs w:val="24"/>
        </w:rPr>
        <w:t>:</w:t>
      </w:r>
    </w:p>
    <w:p w:rsidR="000D2C7E" w:rsidRDefault="000D2C7E" w:rsidP="000D2C7E">
      <w:pPr>
        <w:rPr>
          <w:rFonts w:cs="Times New Roman"/>
          <w:szCs w:val="24"/>
        </w:rPr>
      </w:pPr>
    </w:p>
    <w:p w:rsidR="000D2C7E" w:rsidRPr="000D2C7E" w:rsidRDefault="000D2C7E" w:rsidP="000D2C7E">
      <w:pPr>
        <w:rPr>
          <w:rFonts w:cs="Times New Roman"/>
          <w:b/>
          <w:szCs w:val="24"/>
        </w:rPr>
      </w:pPr>
      <w:r w:rsidRPr="000D2C7E">
        <w:rPr>
          <w:rFonts w:cs="Times New Roman"/>
          <w:b/>
          <w:szCs w:val="24"/>
        </w:rPr>
        <w:t>AS</w:t>
      </w:r>
      <w:r>
        <w:rPr>
          <w:rFonts w:cs="Times New Roman"/>
          <w:b/>
          <w:szCs w:val="24"/>
        </w:rPr>
        <w:t xml:space="preserve"> Statistics</w:t>
      </w:r>
    </w:p>
    <w:p w:rsidR="000D2C7E" w:rsidRDefault="000D2C7E" w:rsidP="000D2C7E">
      <w:pPr>
        <w:rPr>
          <w:rFonts w:cs="Times New Roman"/>
          <w:szCs w:val="24"/>
        </w:rPr>
      </w:pPr>
      <w:r>
        <w:rPr>
          <w:rFonts w:cs="Times New Roman"/>
          <w:szCs w:val="24"/>
        </w:rPr>
        <w:t>Paper 1 – qus.2b, 3b, 5b, 7c–e</w:t>
      </w:r>
    </w:p>
    <w:p w:rsidR="000D2C7E" w:rsidRDefault="000D2C7E" w:rsidP="000D2C7E">
      <w:pPr>
        <w:rPr>
          <w:rFonts w:cs="Times New Roman"/>
          <w:szCs w:val="24"/>
        </w:rPr>
      </w:pPr>
      <w:r>
        <w:rPr>
          <w:rFonts w:cs="Times New Roman"/>
          <w:szCs w:val="24"/>
        </w:rPr>
        <w:t>Paper 2 – qus.3, 5, 7b–c, 7e–f, 8b</w:t>
      </w:r>
    </w:p>
    <w:p w:rsidR="000D2C7E" w:rsidRDefault="000D2C7E" w:rsidP="000D2C7E">
      <w:pPr>
        <w:rPr>
          <w:rFonts w:cs="Times New Roman"/>
          <w:szCs w:val="24"/>
        </w:rPr>
      </w:pPr>
    </w:p>
    <w:p w:rsidR="000D2C7E" w:rsidRPr="000D2C7E" w:rsidRDefault="000D2C7E" w:rsidP="000D2C7E">
      <w:pPr>
        <w:rPr>
          <w:rFonts w:cs="Times New Roman"/>
          <w:b/>
          <w:szCs w:val="24"/>
        </w:rPr>
      </w:pPr>
      <w:r w:rsidRPr="000D2C7E">
        <w:rPr>
          <w:rFonts w:cs="Times New Roman"/>
          <w:b/>
          <w:szCs w:val="24"/>
        </w:rPr>
        <w:t>A level</w:t>
      </w:r>
      <w:r>
        <w:rPr>
          <w:rFonts w:cs="Times New Roman"/>
          <w:b/>
          <w:szCs w:val="24"/>
        </w:rPr>
        <w:t xml:space="preserve"> Statistics</w:t>
      </w:r>
    </w:p>
    <w:p w:rsidR="000D2C7E" w:rsidRDefault="000D2C7E" w:rsidP="000D2C7E">
      <w:pPr>
        <w:rPr>
          <w:rFonts w:cs="Times New Roman"/>
          <w:szCs w:val="24"/>
        </w:rPr>
      </w:pPr>
      <w:r>
        <w:rPr>
          <w:rFonts w:cs="Times New Roman"/>
          <w:szCs w:val="24"/>
        </w:rPr>
        <w:t>Paper 1 – qus.4b, 6d, 7b, 8, 10a, 10c, 11b</w:t>
      </w:r>
    </w:p>
    <w:p w:rsidR="000D2C7E" w:rsidRDefault="000D2C7E" w:rsidP="000D2C7E">
      <w:pPr>
        <w:rPr>
          <w:rFonts w:cs="Times New Roman"/>
          <w:szCs w:val="24"/>
        </w:rPr>
      </w:pPr>
      <w:r>
        <w:rPr>
          <w:rFonts w:cs="Times New Roman"/>
          <w:szCs w:val="24"/>
        </w:rPr>
        <w:t>Paper 2 – qus.3c, 3e, 4b–c, 5b–c, 6b, 7b, 8b</w:t>
      </w:r>
    </w:p>
    <w:p w:rsidR="000D2C7E" w:rsidRDefault="000D2C7E" w:rsidP="000D2C7E">
      <w:pPr>
        <w:rPr>
          <w:rFonts w:cs="Times New Roman"/>
          <w:szCs w:val="24"/>
        </w:rPr>
      </w:pPr>
      <w:r>
        <w:rPr>
          <w:rFonts w:cs="Times New Roman"/>
          <w:szCs w:val="24"/>
        </w:rPr>
        <w:t>Paper 3 – qus.1b, 4b, 5, 6c, 7a, 7d</w:t>
      </w:r>
    </w:p>
    <w:p w:rsidR="00AA7AAF" w:rsidRDefault="00AA7AAF" w:rsidP="000D2C7E">
      <w:pPr>
        <w:rPr>
          <w:rFonts w:cs="Times New Roman"/>
          <w:szCs w:val="24"/>
        </w:rPr>
      </w:pPr>
    </w:p>
    <w:sectPr w:rsidR="00AA7AAF" w:rsidSect="004B2B00">
      <w:pgSz w:w="11907" w:h="16840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0D2C7E"/>
    <w:rsid w:val="000269BA"/>
    <w:rsid w:val="00043B9A"/>
    <w:rsid w:val="000440C8"/>
    <w:rsid w:val="00085575"/>
    <w:rsid w:val="000A70B9"/>
    <w:rsid w:val="000D2C7E"/>
    <w:rsid w:val="000D52AD"/>
    <w:rsid w:val="000F52E0"/>
    <w:rsid w:val="00110185"/>
    <w:rsid w:val="00132BFC"/>
    <w:rsid w:val="00133D37"/>
    <w:rsid w:val="00134966"/>
    <w:rsid w:val="00161598"/>
    <w:rsid w:val="00162CD7"/>
    <w:rsid w:val="00164CBC"/>
    <w:rsid w:val="00183CCE"/>
    <w:rsid w:val="001A14AD"/>
    <w:rsid w:val="00211776"/>
    <w:rsid w:val="00270F2B"/>
    <w:rsid w:val="00286A88"/>
    <w:rsid w:val="002C4655"/>
    <w:rsid w:val="002C48DA"/>
    <w:rsid w:val="003124CA"/>
    <w:rsid w:val="00316557"/>
    <w:rsid w:val="003D261A"/>
    <w:rsid w:val="00400734"/>
    <w:rsid w:val="004B2B00"/>
    <w:rsid w:val="004C57CE"/>
    <w:rsid w:val="005216E8"/>
    <w:rsid w:val="0054663D"/>
    <w:rsid w:val="00546744"/>
    <w:rsid w:val="005664A6"/>
    <w:rsid w:val="00580C65"/>
    <w:rsid w:val="005B564B"/>
    <w:rsid w:val="005D0553"/>
    <w:rsid w:val="005F12E8"/>
    <w:rsid w:val="006243D7"/>
    <w:rsid w:val="006307A9"/>
    <w:rsid w:val="00636583"/>
    <w:rsid w:val="00660158"/>
    <w:rsid w:val="00665780"/>
    <w:rsid w:val="006848D6"/>
    <w:rsid w:val="006907CA"/>
    <w:rsid w:val="006C1D3B"/>
    <w:rsid w:val="006D2F9E"/>
    <w:rsid w:val="006D533B"/>
    <w:rsid w:val="007060B0"/>
    <w:rsid w:val="0072091D"/>
    <w:rsid w:val="007227F1"/>
    <w:rsid w:val="00725967"/>
    <w:rsid w:val="00730BF4"/>
    <w:rsid w:val="007574D6"/>
    <w:rsid w:val="007D54F8"/>
    <w:rsid w:val="007E4246"/>
    <w:rsid w:val="007F2410"/>
    <w:rsid w:val="007F4314"/>
    <w:rsid w:val="00805E34"/>
    <w:rsid w:val="00815FB9"/>
    <w:rsid w:val="00886B92"/>
    <w:rsid w:val="00893BFF"/>
    <w:rsid w:val="008F0CD7"/>
    <w:rsid w:val="008F32B3"/>
    <w:rsid w:val="0092594E"/>
    <w:rsid w:val="00974D41"/>
    <w:rsid w:val="00977DC3"/>
    <w:rsid w:val="009A56FB"/>
    <w:rsid w:val="009D1174"/>
    <w:rsid w:val="00A168B3"/>
    <w:rsid w:val="00A355C6"/>
    <w:rsid w:val="00A5406A"/>
    <w:rsid w:val="00A604C9"/>
    <w:rsid w:val="00AA7AAF"/>
    <w:rsid w:val="00AB4B06"/>
    <w:rsid w:val="00AC328B"/>
    <w:rsid w:val="00AC523F"/>
    <w:rsid w:val="00AC75C8"/>
    <w:rsid w:val="00AF207D"/>
    <w:rsid w:val="00B44BF1"/>
    <w:rsid w:val="00B62F55"/>
    <w:rsid w:val="00B77B76"/>
    <w:rsid w:val="00B8077A"/>
    <w:rsid w:val="00B95B60"/>
    <w:rsid w:val="00BA0223"/>
    <w:rsid w:val="00BD18B9"/>
    <w:rsid w:val="00BD4F7D"/>
    <w:rsid w:val="00BE3B96"/>
    <w:rsid w:val="00C305E3"/>
    <w:rsid w:val="00C32192"/>
    <w:rsid w:val="00C77F09"/>
    <w:rsid w:val="00C97B10"/>
    <w:rsid w:val="00CB26B8"/>
    <w:rsid w:val="00CC01D4"/>
    <w:rsid w:val="00CE0ECD"/>
    <w:rsid w:val="00CE6053"/>
    <w:rsid w:val="00CF24E1"/>
    <w:rsid w:val="00D53062"/>
    <w:rsid w:val="00D66198"/>
    <w:rsid w:val="00D67A19"/>
    <w:rsid w:val="00D86E8A"/>
    <w:rsid w:val="00DB16E7"/>
    <w:rsid w:val="00E217B2"/>
    <w:rsid w:val="00E92A34"/>
    <w:rsid w:val="00ED25CA"/>
    <w:rsid w:val="00EE3041"/>
    <w:rsid w:val="00F16F90"/>
    <w:rsid w:val="00F24358"/>
    <w:rsid w:val="00F53EF5"/>
    <w:rsid w:val="00F64315"/>
    <w:rsid w:val="00F833DE"/>
    <w:rsid w:val="00FA4039"/>
    <w:rsid w:val="00FC1244"/>
    <w:rsid w:val="00FD3365"/>
    <w:rsid w:val="00FE3C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E34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">
    <w:name w:val="Text"/>
    <w:rsid w:val="000D2C7E"/>
    <w:pPr>
      <w:spacing w:before="60" w:after="60" w:line="240" w:lineRule="atLeast"/>
    </w:pPr>
    <w:rPr>
      <w:rFonts w:ascii="Verdana" w:eastAsia="Times New Roman" w:hAnsi="Verdana" w:cs="Times New Roman"/>
      <w:sz w:val="22"/>
      <w:szCs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1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254</Words>
  <Characters>1448</Characters>
  <Application>Microsoft Office Word</Application>
  <DocSecurity>0</DocSecurity>
  <Lines>12</Lines>
  <Paragraphs>3</Paragraphs>
  <ScaleCrop>false</ScaleCrop>
  <Company>Pearson</Company>
  <LinksUpToDate>false</LinksUpToDate>
  <CharactersWithSpaces>1699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markanst</dc:creator>
  <cp:lastModifiedBy>markanst</cp:lastModifiedBy>
  <cp:revision>2</cp:revision>
  <dcterms:created xsi:type="dcterms:W3CDTF">2018-03-14T10:54:00Z</dcterms:created>
  <dcterms:modified xsi:type="dcterms:W3CDTF">2018-03-14T11:14:00Z</dcterms:modified>
</cp:coreProperties>
</file>